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BF876" w14:textId="77777777" w:rsidR="002C79E6" w:rsidRPr="004239C9" w:rsidRDefault="002C79E6" w:rsidP="002C79E6">
      <w:pPr>
        <w:rPr>
          <w:lang w:val="en-US"/>
        </w:rPr>
      </w:pPr>
    </w:p>
    <w:p w14:paraId="5BA799A9" w14:textId="77777777" w:rsidR="002C79E6" w:rsidRPr="00A132DC" w:rsidRDefault="002C79E6" w:rsidP="002C79E6"/>
    <w:p w14:paraId="47BEDD95" w14:textId="77777777" w:rsidR="002C79E6" w:rsidRPr="00A132DC" w:rsidRDefault="002C79E6" w:rsidP="002C79E6"/>
    <w:p w14:paraId="00477A45" w14:textId="77777777" w:rsidR="002C79E6" w:rsidRPr="00A132DC" w:rsidRDefault="002C79E6" w:rsidP="002C79E6"/>
    <w:p w14:paraId="512A5413" w14:textId="77777777" w:rsidR="002C79E6" w:rsidRPr="00A132DC" w:rsidRDefault="002C79E6" w:rsidP="002C79E6"/>
    <w:p w14:paraId="5FE840C8" w14:textId="3FD6C091" w:rsidR="6A36C4BF" w:rsidRPr="00A132DC" w:rsidRDefault="00D86F77" w:rsidP="00B863FB">
      <w:pPr>
        <w:pStyle w:val="Title"/>
      </w:pPr>
      <w:r>
        <w:t>Implications of Absent-minded Scrolling</w:t>
      </w:r>
      <w:r w:rsidR="00B5712D" w:rsidRPr="00A132DC">
        <w:t xml:space="preserve"> as a Potential </w:t>
      </w:r>
      <w:r>
        <w:t>Form</w:t>
      </w:r>
      <w:r w:rsidR="00B5712D" w:rsidRPr="00A132DC">
        <w:t xml:space="preserve"> of Source-Error Confabulation</w:t>
      </w:r>
    </w:p>
    <w:p w14:paraId="509CEE5D" w14:textId="77777777" w:rsidR="00B5712D" w:rsidRPr="00A132DC" w:rsidRDefault="00B5712D" w:rsidP="002C79E6">
      <w:pPr>
        <w:pStyle w:val="Subtitle"/>
      </w:pPr>
    </w:p>
    <w:p w14:paraId="5C572292" w14:textId="2622C7EF" w:rsidR="00A417C1" w:rsidRPr="00A132DC" w:rsidRDefault="00B5712D" w:rsidP="002C79E6">
      <w:pPr>
        <w:pStyle w:val="Subtitle"/>
      </w:pPr>
      <w:r w:rsidRPr="00A132DC">
        <w:t>Sanjana Iyer</w:t>
      </w:r>
    </w:p>
    <w:p w14:paraId="15D62391" w14:textId="54A1CFB8" w:rsidR="002C79E6" w:rsidRPr="00A132DC" w:rsidRDefault="00B5712D" w:rsidP="002C79E6">
      <w:pPr>
        <w:pStyle w:val="Subtitle"/>
      </w:pPr>
      <w:r w:rsidRPr="00A132DC">
        <w:t>University of Toronto</w:t>
      </w:r>
    </w:p>
    <w:p w14:paraId="531F3410" w14:textId="6F337ED9" w:rsidR="002C79E6" w:rsidRPr="00A132DC" w:rsidRDefault="00B5712D" w:rsidP="002C79E6">
      <w:pPr>
        <w:pStyle w:val="Subtitle"/>
      </w:pPr>
      <w:r w:rsidRPr="00A132DC">
        <w:t>COG250: Introduction to Cognitive Science</w:t>
      </w:r>
    </w:p>
    <w:p w14:paraId="6F1D211A" w14:textId="6F3C3223" w:rsidR="002C79E6" w:rsidRPr="00A132DC" w:rsidRDefault="00B5712D" w:rsidP="002C79E6">
      <w:pPr>
        <w:pStyle w:val="Subtitle"/>
      </w:pPr>
      <w:r w:rsidRPr="00A132DC">
        <w:t>Mark D. Miller</w:t>
      </w:r>
    </w:p>
    <w:p w14:paraId="4B8BD3BD" w14:textId="54CFDD88" w:rsidR="201D26C8" w:rsidRPr="00A132DC" w:rsidRDefault="00B5712D" w:rsidP="002C79E6">
      <w:pPr>
        <w:pStyle w:val="Subtitle"/>
      </w:pPr>
      <w:r w:rsidRPr="00A132DC">
        <w:t>24</w:t>
      </w:r>
      <w:r w:rsidRPr="00A132DC">
        <w:rPr>
          <w:vertAlign w:val="superscript"/>
        </w:rPr>
        <w:t>th</w:t>
      </w:r>
      <w:r w:rsidRPr="00A132DC">
        <w:t xml:space="preserve"> February, 2025</w:t>
      </w:r>
    </w:p>
    <w:p w14:paraId="4E46C5B6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0C1BBEF9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1F7A007E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2671B7CB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73A4AE4D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0FBFABB9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472B937A" w14:textId="77777777" w:rsidR="201D26C8" w:rsidRPr="00A132DC" w:rsidRDefault="201D26C8" w:rsidP="014CA2B6">
      <w:pPr>
        <w:pStyle w:val="Title2"/>
        <w:rPr>
          <w:rFonts w:ascii="Calibri" w:eastAsia="Calibri" w:hAnsi="Calibri" w:cs="Calibri"/>
          <w:szCs w:val="22"/>
        </w:rPr>
      </w:pPr>
    </w:p>
    <w:p w14:paraId="6DC57CCB" w14:textId="77777777" w:rsidR="000D4642" w:rsidRPr="00A132DC" w:rsidRDefault="000D4642">
      <w:pPr>
        <w:rPr>
          <w:rFonts w:ascii="Calibri" w:eastAsia="Calibri" w:hAnsi="Calibri" w:cs="Calibri"/>
          <w:szCs w:val="22"/>
        </w:rPr>
      </w:pPr>
      <w:r w:rsidRPr="00A132DC">
        <w:rPr>
          <w:rFonts w:ascii="Calibri" w:eastAsia="Calibri" w:hAnsi="Calibri" w:cs="Calibri"/>
          <w:szCs w:val="22"/>
        </w:rPr>
        <w:br w:type="page"/>
      </w:r>
    </w:p>
    <w:p w14:paraId="4C5170E8" w14:textId="52A5D4F3" w:rsidR="00A417C1" w:rsidRPr="00A132DC" w:rsidRDefault="00D86F77" w:rsidP="00B863FB">
      <w:pPr>
        <w:pStyle w:val="SectionTitle"/>
      </w:pPr>
      <w:r>
        <w:lastRenderedPageBreak/>
        <w:t>Essay Proposal</w:t>
      </w:r>
    </w:p>
    <w:p w14:paraId="4171BC6F" w14:textId="52009F59" w:rsidR="002672F8" w:rsidRDefault="00D50239" w:rsidP="000F435F">
      <w:r w:rsidRPr="00A132DC">
        <w:t>Absent-minded scrolling is likened to a sort of extended mind-wandering (Christoff</w:t>
      </w:r>
      <w:r w:rsidR="00371D51">
        <w:t xml:space="preserve"> &amp; </w:t>
      </w:r>
      <w:r w:rsidRPr="00A132DC">
        <w:t xml:space="preserve">Irving, 2016) due to their common aspects of lacking strong task-related attentional cues and lack of top-down attentional constraints. </w:t>
      </w:r>
      <w:r w:rsidR="00224095" w:rsidRPr="00A132DC">
        <w:t xml:space="preserve">I aim to show that absent-minded scrolling </w:t>
      </w:r>
      <w:r w:rsidR="00A132DC">
        <w:t xml:space="preserve">as extended mind-wandering </w:t>
      </w:r>
      <w:r w:rsidR="00224095" w:rsidRPr="00A132DC">
        <w:t xml:space="preserve">is a form of maladaptive source-error confabulation, and discuss its implications towards the internalization of increasingly polarising content. </w:t>
      </w:r>
    </w:p>
    <w:p w14:paraId="4AD1CC8B" w14:textId="2D4F6DEA" w:rsidR="00D86F77" w:rsidRDefault="00D86F77" w:rsidP="002672F8">
      <w:r>
        <w:t xml:space="preserve">Firstly, </w:t>
      </w:r>
      <w:r w:rsidR="00D50239" w:rsidRPr="00A132DC">
        <w:t xml:space="preserve">I refer to Dayer’s (2024) paper to draw distinctions between absent-minded scrolling and doomscrolling in that </w:t>
      </w:r>
      <w:r w:rsidR="00A132DC">
        <w:t>the latter</w:t>
      </w:r>
      <w:r w:rsidR="00D50239" w:rsidRPr="00A132DC">
        <w:t xml:space="preserve"> necessitates a resultant state of emotional distress and general anxiety at the end of the session whereas absent-minded scrolling is </w:t>
      </w:r>
      <w:r w:rsidR="00A132DC">
        <w:t>usually just a</w:t>
      </w:r>
      <w:r w:rsidR="001C0067">
        <w:t xml:space="preserve"> neutral-valanced</w:t>
      </w:r>
      <w:r w:rsidR="00A132DC">
        <w:t xml:space="preserve"> </w:t>
      </w:r>
      <w:r w:rsidR="00D50239" w:rsidRPr="00A132DC">
        <w:t xml:space="preserve">coping mechanism to deal with low </w:t>
      </w:r>
      <w:r w:rsidR="00A132DC">
        <w:t>arousal</w:t>
      </w:r>
      <w:r w:rsidR="00D50239" w:rsidRPr="00A132DC">
        <w:t xml:space="preserve"> and proneness to boredom</w:t>
      </w:r>
      <w:r w:rsidR="001C0067">
        <w:t xml:space="preserve"> (Lukoff, 2018; Ottaviani, 2015)</w:t>
      </w:r>
      <w:r>
        <w:t xml:space="preserve">. </w:t>
      </w:r>
    </w:p>
    <w:p w14:paraId="4C7C370B" w14:textId="3D3DAFE8" w:rsidR="00D86F77" w:rsidRDefault="00D86F77" w:rsidP="002672F8">
      <w:r>
        <w:t xml:space="preserve">Then, </w:t>
      </w:r>
      <w:r w:rsidR="00D50239" w:rsidRPr="00A132DC">
        <w:t>I use arguments from Clark and Chalmers’ (1998) definition as well as Heersmink et al.’s (2015) ideas of first and second wave extended cognition to expose absent-minded scrolling as a kind of extended mind-wandering</w:t>
      </w:r>
      <w:r w:rsidR="001C0067">
        <w:t>, including studies from Bruineberg and Fabry (2021/2022) on the same</w:t>
      </w:r>
      <w:r w:rsidR="00D50239" w:rsidRPr="00A132DC">
        <w:t xml:space="preserve">. </w:t>
      </w:r>
      <w:r>
        <w:t>Thus, I suggest that</w:t>
      </w:r>
      <w:r w:rsidR="00224095" w:rsidRPr="00A132DC">
        <w:t xml:space="preserve"> it can be reasonably inferred that extended mind-wandering through incessant gadget-use implies the reliability of the source and trust in the information gathered as one trusts a bio-organ, based on the definition of the extended mind. </w:t>
      </w:r>
    </w:p>
    <w:p w14:paraId="3C03547D" w14:textId="6A3EF394" w:rsidR="00D86F77" w:rsidRDefault="00224095" w:rsidP="002672F8">
      <w:r w:rsidRPr="00A132DC">
        <w:t>The crux of m</w:t>
      </w:r>
      <w:r w:rsidR="001C0067">
        <w:t>y argument lies in juxtaposing this subconsciously internalised information derived from extended mind-wandering with a specific form of confabulation, viz. source-error</w:t>
      </w:r>
      <w:r w:rsidR="002672F8">
        <w:t xml:space="preserve"> or source-monitoring error</w:t>
      </w:r>
      <w:r w:rsidR="001C0067">
        <w:t xml:space="preserve"> (SE</w:t>
      </w:r>
      <w:r w:rsidR="002672F8">
        <w:t>/SME</w:t>
      </w:r>
      <w:r w:rsidR="001C0067">
        <w:t>),</w:t>
      </w:r>
      <w:r w:rsidR="002672F8">
        <w:t xml:space="preserve"> presumed to be caused by lesions to the frontal and medial-temporal lobes of the brain (Johnson and Raye, 1998)</w:t>
      </w:r>
      <w:r w:rsidR="00D86F77">
        <w:t xml:space="preserve"> using evidence from Baddeley’s memory model.</w:t>
      </w:r>
    </w:p>
    <w:p w14:paraId="54967C11" w14:textId="51D0515E" w:rsidR="00D50239" w:rsidRPr="00A132DC" w:rsidRDefault="00D86F77" w:rsidP="002672F8">
      <w:r>
        <w:t>I conclude that absent-minded scrolling tricks the brain into believing that the beliefs / ideas perceived externally, are actually endogenously generated thoughts. Lastly, I discuss the implications of such type of false endogenous attribution on the implicit internalisation o</w:t>
      </w:r>
      <w:r w:rsidR="00A35F60">
        <w:t>f</w:t>
      </w:r>
      <w:r>
        <w:t xml:space="preserve"> radicalised / polarised content one is exposed to in online short form content. </w:t>
      </w:r>
    </w:p>
    <w:p w14:paraId="58CDE8CE" w14:textId="7F632257" w:rsidR="67AE9998" w:rsidRDefault="67AE9998" w:rsidP="00A35F60">
      <w:pPr>
        <w:pStyle w:val="Heading1"/>
        <w:tabs>
          <w:tab w:val="center" w:pos="4680"/>
          <w:tab w:val="left" w:pos="6036"/>
        </w:tabs>
        <w:jc w:val="left"/>
        <w:rPr>
          <w:rFonts w:ascii="Calibri" w:eastAsia="Calibri" w:hAnsi="Calibri" w:cs="Calibri"/>
          <w:szCs w:val="22"/>
        </w:rPr>
      </w:pPr>
    </w:p>
    <w:p w14:paraId="24F82BE9" w14:textId="33FF17D9" w:rsidR="004A0F3F" w:rsidRPr="004A0F3F" w:rsidRDefault="004A0F3F" w:rsidP="004A0F3F">
      <w:pPr>
        <w:jc w:val="center"/>
        <w:rPr>
          <w:b/>
          <w:bCs/>
        </w:rPr>
      </w:pPr>
      <w:r w:rsidRPr="004A0F3F">
        <w:rPr>
          <w:b/>
          <w:bCs/>
        </w:rPr>
        <w:t>R</w:t>
      </w:r>
      <w:r w:rsidRPr="004A0F3F">
        <w:rPr>
          <w:rFonts w:asciiTheme="majorHAnsi" w:eastAsiaTheme="majorEastAsia" w:hAnsiTheme="majorHAnsi" w:cstheme="majorBidi"/>
          <w:b/>
          <w:bCs/>
          <w:color w:val="auto"/>
        </w:rPr>
        <w:t>eferences</w:t>
      </w:r>
    </w:p>
    <w:p w14:paraId="35909FCF" w14:textId="77777777" w:rsidR="004A0F3F" w:rsidRPr="004A0F3F" w:rsidRDefault="004A0F3F" w:rsidP="004A0F3F">
      <w:pPr>
        <w:rPr>
          <w:lang w:val="en-IN"/>
        </w:rPr>
      </w:pPr>
      <w:proofErr w:type="spellStart"/>
      <w:r w:rsidRPr="004A0F3F">
        <w:rPr>
          <w:lang w:val="en-IN"/>
        </w:rPr>
        <w:t>Bruineberg</w:t>
      </w:r>
      <w:proofErr w:type="spellEnd"/>
      <w:r w:rsidRPr="004A0F3F">
        <w:rPr>
          <w:lang w:val="en-IN"/>
        </w:rPr>
        <w:t xml:space="preserve">, J., &amp; Fabry, R. (2022). Extended mind-wandering. </w:t>
      </w:r>
      <w:r w:rsidRPr="004A0F3F">
        <w:rPr>
          <w:i/>
          <w:iCs/>
          <w:lang w:val="en-IN"/>
        </w:rPr>
        <w:t>Philosophy and the Mind Sciences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3</w:t>
      </w:r>
      <w:r w:rsidRPr="004A0F3F">
        <w:rPr>
          <w:lang w:val="en-IN"/>
        </w:rPr>
        <w:t xml:space="preserve">. </w:t>
      </w:r>
      <w:hyperlink r:id="rId10" w:history="1">
        <w:r w:rsidRPr="004A0F3F">
          <w:rPr>
            <w:rStyle w:val="Hyperlink"/>
            <w:lang w:val="en-IN"/>
          </w:rPr>
          <w:t>https://doi.org/10.33735/phimisci.2022.9190</w:t>
        </w:r>
      </w:hyperlink>
    </w:p>
    <w:p w14:paraId="084F8CFD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Christoff, K., Irving, Z. C., Fox, K. C. R., Spreng, R. N., &amp; Andrews-Hanna, J. R. (2016). Mind-wandering as spontaneous thought: A dynamic framework. </w:t>
      </w:r>
      <w:r w:rsidRPr="004A0F3F">
        <w:rPr>
          <w:i/>
          <w:iCs/>
          <w:lang w:val="en-IN"/>
        </w:rPr>
        <w:t>Nature Reviews Neuroscience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17</w:t>
      </w:r>
      <w:r w:rsidRPr="004A0F3F">
        <w:rPr>
          <w:lang w:val="en-IN"/>
        </w:rPr>
        <w:t xml:space="preserve">(11), 718–731. </w:t>
      </w:r>
      <w:hyperlink r:id="rId11" w:history="1">
        <w:r w:rsidRPr="004A0F3F">
          <w:rPr>
            <w:rStyle w:val="Hyperlink"/>
            <w:lang w:val="en-IN"/>
          </w:rPr>
          <w:t>https://doi.org/10.1038/nrn.2016.113</w:t>
        </w:r>
      </w:hyperlink>
    </w:p>
    <w:p w14:paraId="6EE06FA5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Clark, A., &amp; Chalmers’, D. (n.d.). </w:t>
      </w:r>
      <w:r w:rsidRPr="004A0F3F">
        <w:rPr>
          <w:i/>
          <w:iCs/>
          <w:lang w:val="en-IN"/>
        </w:rPr>
        <w:t>The Extended Mind</w:t>
      </w:r>
      <w:r w:rsidRPr="004A0F3F">
        <w:rPr>
          <w:lang w:val="en-IN"/>
        </w:rPr>
        <w:t>.</w:t>
      </w:r>
    </w:p>
    <w:p w14:paraId="3327ED73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Dayer, A. (n.d.). </w:t>
      </w:r>
      <w:r w:rsidRPr="004A0F3F">
        <w:rPr>
          <w:i/>
          <w:iCs/>
          <w:lang w:val="en-IN"/>
        </w:rPr>
        <w:t>Cognitive and Information Sciences</w:t>
      </w:r>
      <w:r w:rsidRPr="004A0F3F">
        <w:rPr>
          <w:lang w:val="en-IN"/>
        </w:rPr>
        <w:t>.</w:t>
      </w:r>
    </w:p>
    <w:p w14:paraId="1DCD2CD2" w14:textId="77777777" w:rsidR="004A0F3F" w:rsidRPr="004A0F3F" w:rsidRDefault="004A0F3F" w:rsidP="004A0F3F">
      <w:pPr>
        <w:rPr>
          <w:lang w:val="en-IN"/>
        </w:rPr>
      </w:pPr>
      <w:proofErr w:type="spellStart"/>
      <w:r w:rsidRPr="004A0F3F">
        <w:rPr>
          <w:lang w:val="en-IN"/>
        </w:rPr>
        <w:t>Heersmink</w:t>
      </w:r>
      <w:proofErr w:type="spellEnd"/>
      <w:r w:rsidRPr="004A0F3F">
        <w:rPr>
          <w:lang w:val="en-IN"/>
        </w:rPr>
        <w:t xml:space="preserve">, R. (2015). Dimensions of integration in embedded and extended cognitive systems. </w:t>
      </w:r>
      <w:r w:rsidRPr="004A0F3F">
        <w:rPr>
          <w:i/>
          <w:iCs/>
          <w:lang w:val="en-IN"/>
        </w:rPr>
        <w:t>Phenomenology and the Cognitive Sciences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14</w:t>
      </w:r>
      <w:r w:rsidRPr="004A0F3F">
        <w:rPr>
          <w:lang w:val="en-IN"/>
        </w:rPr>
        <w:t xml:space="preserve">(3), 577–598. </w:t>
      </w:r>
      <w:hyperlink r:id="rId12" w:history="1">
        <w:r w:rsidRPr="004A0F3F">
          <w:rPr>
            <w:rStyle w:val="Hyperlink"/>
            <w:lang w:val="en-IN"/>
          </w:rPr>
          <w:t>https://doi.org/10.1007/s11097-014-9355-1</w:t>
        </w:r>
      </w:hyperlink>
    </w:p>
    <w:p w14:paraId="633D382C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Johnson, M. K., &amp; Raye, C. L. (1998). False memories and confabulation. </w:t>
      </w:r>
      <w:r w:rsidRPr="004A0F3F">
        <w:rPr>
          <w:i/>
          <w:iCs/>
          <w:lang w:val="en-IN"/>
        </w:rPr>
        <w:t>Trends in Cognitive Sciences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2</w:t>
      </w:r>
      <w:r w:rsidRPr="004A0F3F">
        <w:rPr>
          <w:lang w:val="en-IN"/>
        </w:rPr>
        <w:t>(4).</w:t>
      </w:r>
    </w:p>
    <w:p w14:paraId="3EA0DF8E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Lukoff, K., Yu, C., Kientz, J., &amp; Hiniker, A. (2018). What Makes Smartphone Use Meaningful or Meaningless? </w:t>
      </w:r>
      <w:r w:rsidRPr="004A0F3F">
        <w:rPr>
          <w:i/>
          <w:iCs/>
          <w:lang w:val="en-IN"/>
        </w:rPr>
        <w:t>Proceedings of the ACM on Interactive, Mobile, Wearable and Ubiquitous Technologies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2</w:t>
      </w:r>
      <w:r w:rsidRPr="004A0F3F">
        <w:rPr>
          <w:lang w:val="en-IN"/>
        </w:rPr>
        <w:t xml:space="preserve">(1), 1–26. </w:t>
      </w:r>
      <w:hyperlink r:id="rId13" w:history="1">
        <w:r w:rsidRPr="004A0F3F">
          <w:rPr>
            <w:rStyle w:val="Hyperlink"/>
            <w:lang w:val="en-IN"/>
          </w:rPr>
          <w:t>https://doi.org/10.1145/3191754</w:t>
        </w:r>
      </w:hyperlink>
    </w:p>
    <w:p w14:paraId="3CAD0FD2" w14:textId="77777777" w:rsidR="004A0F3F" w:rsidRPr="004A0F3F" w:rsidRDefault="004A0F3F" w:rsidP="004A0F3F">
      <w:pPr>
        <w:rPr>
          <w:lang w:val="en-IN"/>
        </w:rPr>
      </w:pPr>
      <w:r w:rsidRPr="004A0F3F">
        <w:rPr>
          <w:lang w:val="en-IN"/>
        </w:rPr>
        <w:t xml:space="preserve">Ottaviani, C., Shahabi, L., Tarvainen, M., Cook, I., Abrams, M., &amp; Shapiro, D. (2015). Cognitive, </w:t>
      </w:r>
      <w:proofErr w:type="spellStart"/>
      <w:r w:rsidRPr="004A0F3F">
        <w:rPr>
          <w:lang w:val="en-IN"/>
        </w:rPr>
        <w:t>behavioral</w:t>
      </w:r>
      <w:proofErr w:type="spellEnd"/>
      <w:r w:rsidRPr="004A0F3F">
        <w:rPr>
          <w:lang w:val="en-IN"/>
        </w:rPr>
        <w:t xml:space="preserve">, and autonomic correlates of mind wandering and perseverative cognition in major depression. </w:t>
      </w:r>
      <w:r w:rsidRPr="004A0F3F">
        <w:rPr>
          <w:i/>
          <w:iCs/>
          <w:lang w:val="en-IN"/>
        </w:rPr>
        <w:t>Frontiers in Neuroscience</w:t>
      </w:r>
      <w:r w:rsidRPr="004A0F3F">
        <w:rPr>
          <w:lang w:val="en-IN"/>
        </w:rPr>
        <w:t xml:space="preserve">, </w:t>
      </w:r>
      <w:r w:rsidRPr="004A0F3F">
        <w:rPr>
          <w:i/>
          <w:iCs/>
          <w:lang w:val="en-IN"/>
        </w:rPr>
        <w:t>8</w:t>
      </w:r>
      <w:r w:rsidRPr="004A0F3F">
        <w:rPr>
          <w:lang w:val="en-IN"/>
        </w:rPr>
        <w:t xml:space="preserve">. </w:t>
      </w:r>
      <w:hyperlink r:id="rId14" w:history="1">
        <w:r w:rsidRPr="004A0F3F">
          <w:rPr>
            <w:rStyle w:val="Hyperlink"/>
            <w:lang w:val="en-IN"/>
          </w:rPr>
          <w:t>https://doi.org/10.3389/fnins.2014.00433</w:t>
        </w:r>
      </w:hyperlink>
    </w:p>
    <w:p w14:paraId="03BD90FC" w14:textId="77777777" w:rsidR="004A0F3F" w:rsidRPr="004A0F3F" w:rsidRDefault="004A0F3F" w:rsidP="004A0F3F"/>
    <w:sectPr w:rsidR="004A0F3F" w:rsidRPr="004A0F3F"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B5D3" w14:textId="77777777" w:rsidR="00A95A15" w:rsidRPr="00A132DC" w:rsidRDefault="00A95A15">
      <w:pPr>
        <w:spacing w:line="240" w:lineRule="auto"/>
      </w:pPr>
      <w:r w:rsidRPr="00A132DC">
        <w:separator/>
      </w:r>
    </w:p>
    <w:p w14:paraId="579F1EAA" w14:textId="77777777" w:rsidR="00A95A15" w:rsidRPr="00A132DC" w:rsidRDefault="00A95A15"/>
  </w:endnote>
  <w:endnote w:type="continuationSeparator" w:id="0">
    <w:p w14:paraId="53D4A1F2" w14:textId="77777777" w:rsidR="00A95A15" w:rsidRPr="00A132DC" w:rsidRDefault="00A95A15">
      <w:pPr>
        <w:spacing w:line="240" w:lineRule="auto"/>
      </w:pPr>
      <w:r w:rsidRPr="00A132DC">
        <w:continuationSeparator/>
      </w:r>
    </w:p>
    <w:p w14:paraId="1F55A279" w14:textId="77777777" w:rsidR="00A95A15" w:rsidRPr="00A132DC" w:rsidRDefault="00A95A1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BE023" w14:textId="77777777" w:rsidR="00A95A15" w:rsidRPr="00A132DC" w:rsidRDefault="00A95A15">
      <w:pPr>
        <w:spacing w:line="240" w:lineRule="auto"/>
      </w:pPr>
      <w:r w:rsidRPr="00A132DC">
        <w:separator/>
      </w:r>
    </w:p>
    <w:p w14:paraId="5172710F" w14:textId="77777777" w:rsidR="00A95A15" w:rsidRPr="00A132DC" w:rsidRDefault="00A95A15"/>
  </w:footnote>
  <w:footnote w:type="continuationSeparator" w:id="0">
    <w:p w14:paraId="7026AD4C" w14:textId="77777777" w:rsidR="00A95A15" w:rsidRPr="00A132DC" w:rsidRDefault="00A95A15">
      <w:pPr>
        <w:spacing w:line="240" w:lineRule="auto"/>
      </w:pPr>
      <w:r w:rsidRPr="00A132DC">
        <w:continuationSeparator/>
      </w:r>
    </w:p>
    <w:p w14:paraId="16D3321A" w14:textId="77777777" w:rsidR="00A95A15" w:rsidRPr="00A132DC" w:rsidRDefault="00A95A1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num w:numId="1" w16cid:durableId="1583753049">
    <w:abstractNumId w:val="9"/>
  </w:num>
  <w:num w:numId="2" w16cid:durableId="1672021673">
    <w:abstractNumId w:val="7"/>
  </w:num>
  <w:num w:numId="3" w16cid:durableId="1661418664">
    <w:abstractNumId w:val="6"/>
  </w:num>
  <w:num w:numId="4" w16cid:durableId="28338585">
    <w:abstractNumId w:val="5"/>
  </w:num>
  <w:num w:numId="5" w16cid:durableId="10451996">
    <w:abstractNumId w:val="4"/>
  </w:num>
  <w:num w:numId="6" w16cid:durableId="1118185191">
    <w:abstractNumId w:val="8"/>
  </w:num>
  <w:num w:numId="7" w16cid:durableId="944580785">
    <w:abstractNumId w:val="3"/>
  </w:num>
  <w:num w:numId="8" w16cid:durableId="1728843970">
    <w:abstractNumId w:val="2"/>
  </w:num>
  <w:num w:numId="9" w16cid:durableId="261961369">
    <w:abstractNumId w:val="1"/>
  </w:num>
  <w:num w:numId="10" w16cid:durableId="940600249">
    <w:abstractNumId w:val="0"/>
  </w:num>
  <w:num w:numId="11" w16cid:durableId="1773084239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12D"/>
    <w:rsid w:val="00023AFE"/>
    <w:rsid w:val="000A3D9B"/>
    <w:rsid w:val="000D4642"/>
    <w:rsid w:val="000D539D"/>
    <w:rsid w:val="000F435F"/>
    <w:rsid w:val="00116273"/>
    <w:rsid w:val="001C0067"/>
    <w:rsid w:val="00224095"/>
    <w:rsid w:val="002672F8"/>
    <w:rsid w:val="00275318"/>
    <w:rsid w:val="002C79E6"/>
    <w:rsid w:val="002F3AE9"/>
    <w:rsid w:val="00371D51"/>
    <w:rsid w:val="003804CC"/>
    <w:rsid w:val="004239C9"/>
    <w:rsid w:val="0043418F"/>
    <w:rsid w:val="004A0F3F"/>
    <w:rsid w:val="005C199E"/>
    <w:rsid w:val="00664C1A"/>
    <w:rsid w:val="0087407D"/>
    <w:rsid w:val="00896DA3"/>
    <w:rsid w:val="00A132DC"/>
    <w:rsid w:val="00A35F60"/>
    <w:rsid w:val="00A417C1"/>
    <w:rsid w:val="00A95A15"/>
    <w:rsid w:val="00AA3B7A"/>
    <w:rsid w:val="00B33AC9"/>
    <w:rsid w:val="00B5712D"/>
    <w:rsid w:val="00B863FB"/>
    <w:rsid w:val="00B86440"/>
    <w:rsid w:val="00BB2D6F"/>
    <w:rsid w:val="00C00F8F"/>
    <w:rsid w:val="00C03068"/>
    <w:rsid w:val="00D50239"/>
    <w:rsid w:val="00D620FD"/>
    <w:rsid w:val="00D86F77"/>
    <w:rsid w:val="00D91044"/>
    <w:rsid w:val="00E67454"/>
    <w:rsid w:val="00EF55C5"/>
    <w:rsid w:val="00F6242A"/>
    <w:rsid w:val="00FA60D6"/>
    <w:rsid w:val="00FD0666"/>
    <w:rsid w:val="00FE623A"/>
    <w:rsid w:val="00FF55EC"/>
    <w:rsid w:val="014CA2B6"/>
    <w:rsid w:val="0D6E5604"/>
    <w:rsid w:val="1C0665C1"/>
    <w:rsid w:val="1E84F322"/>
    <w:rsid w:val="201D26C8"/>
    <w:rsid w:val="212F006F"/>
    <w:rsid w:val="2CCDFC8D"/>
    <w:rsid w:val="3236C9DF"/>
    <w:rsid w:val="3660B96E"/>
    <w:rsid w:val="3D0A9892"/>
    <w:rsid w:val="3E192C66"/>
    <w:rsid w:val="3FD79D39"/>
    <w:rsid w:val="4A446072"/>
    <w:rsid w:val="52694629"/>
    <w:rsid w:val="593F41A5"/>
    <w:rsid w:val="5A1CFD60"/>
    <w:rsid w:val="5D68E123"/>
    <w:rsid w:val="6451CACF"/>
    <w:rsid w:val="67AE9998"/>
    <w:rsid w:val="689E33FC"/>
    <w:rsid w:val="68E35553"/>
    <w:rsid w:val="6A36C4BF"/>
    <w:rsid w:val="7050BCB6"/>
    <w:rsid w:val="7CCA2D81"/>
    <w:rsid w:val="7F11E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0D253A"/>
  <w15:chartTrackingRefBased/>
  <w15:docId w15:val="{CE1D9396-1EF1-4D6A-B9D6-90BEA77FB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3FB"/>
    <w:rPr>
      <w:sz w:val="22"/>
      <w:lang w:val="en-CA"/>
    </w:rPr>
  </w:style>
  <w:style w:type="paragraph" w:styleId="Heading1">
    <w:name w:val="heading 1"/>
    <w:basedOn w:val="Normal"/>
    <w:next w:val="Normal"/>
    <w:link w:val="Heading1Char"/>
    <w:uiPriority w:val="3"/>
    <w:qFormat/>
    <w:rsid w:val="002C79E6"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C00F8F"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C00F8F"/>
    <w:pPr>
      <w:keepNext/>
      <w:keepLines/>
      <w:ind w:firstLine="0"/>
      <w:outlineLvl w:val="2"/>
    </w:pPr>
    <w:rPr>
      <w:rFonts w:asciiTheme="majorHAnsi" w:eastAsiaTheme="majorEastAsia" w:hAnsiTheme="majorHAnsi" w:cstheme="majorBidi"/>
      <w:b/>
      <w:bCs/>
      <w:i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rsid w:val="00664C1A"/>
    <w:pPr>
      <w:keepNext/>
      <w:keepLines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rsid w:val="00664C1A"/>
    <w:pPr>
      <w:keepNext/>
      <w:keepLines/>
      <w:outlineLvl w:val="4"/>
    </w:pPr>
    <w:rPr>
      <w:rFonts w:asciiTheme="majorHAnsi" w:eastAsiaTheme="majorEastAsia" w:hAnsiTheme="majorHAnsi" w:cstheme="majorBidi"/>
      <w:b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15"/>
    <w:qFormat/>
    <w:rsid w:val="002C79E6"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  <w:b/>
      <w:color w:val="auto"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3"/>
    <w:qFormat/>
    <w:rsid w:val="00B863FB"/>
    <w:pPr>
      <w:ind w:firstLine="0"/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3"/>
    <w:rsid w:val="002C79E6"/>
    <w:rPr>
      <w:rFonts w:asciiTheme="majorHAnsi" w:eastAsiaTheme="majorEastAsia" w:hAnsiTheme="majorHAnsi" w:cstheme="majorBidi"/>
      <w:b/>
      <w:bCs/>
      <w:sz w:val="22"/>
    </w:rPr>
  </w:style>
  <w:style w:type="character" w:customStyle="1" w:styleId="Heading2Char">
    <w:name w:val="Heading 2 Char"/>
    <w:basedOn w:val="DefaultParagraphFont"/>
    <w:link w:val="Heading2"/>
    <w:uiPriority w:val="3"/>
    <w:rsid w:val="00C00F8F"/>
    <w:rPr>
      <w:rFonts w:asciiTheme="majorHAnsi" w:eastAsiaTheme="majorEastAsia" w:hAnsiTheme="majorHAnsi" w:cstheme="majorBidi"/>
      <w:b/>
      <w:bCs/>
      <w:sz w:val="22"/>
    </w:rPr>
  </w:style>
  <w:style w:type="paragraph" w:styleId="Title">
    <w:name w:val="Title"/>
    <w:basedOn w:val="Normal"/>
    <w:next w:val="Normal"/>
    <w:link w:val="TitleChar"/>
    <w:uiPriority w:val="16"/>
    <w:qFormat/>
    <w:rsid w:val="00B863FB"/>
    <w:pPr>
      <w:ind w:firstLine="0"/>
      <w:contextualSpacing/>
      <w:jc w:val="center"/>
    </w:pPr>
    <w:rPr>
      <w:rFonts w:asciiTheme="majorHAnsi" w:eastAsiaTheme="majorEastAsia" w:hAnsiTheme="majorHAnsi" w:cstheme="majorBidi"/>
      <w:b/>
    </w:rPr>
  </w:style>
  <w:style w:type="character" w:customStyle="1" w:styleId="TitleChar">
    <w:name w:val="Title Char"/>
    <w:basedOn w:val="DefaultParagraphFont"/>
    <w:link w:val="Title"/>
    <w:uiPriority w:val="16"/>
    <w:rsid w:val="00B863FB"/>
    <w:rPr>
      <w:rFonts w:asciiTheme="majorHAnsi" w:eastAsiaTheme="majorEastAsia" w:hAnsiTheme="majorHAnsi" w:cstheme="majorBidi"/>
      <w:b/>
      <w:sz w:val="22"/>
    </w:rPr>
  </w:style>
  <w:style w:type="character" w:styleId="Emphasis">
    <w:name w:val="Emphasis"/>
    <w:basedOn w:val="DefaultParagraphFont"/>
    <w:uiPriority w:val="3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sid w:val="00C00F8F"/>
    <w:rPr>
      <w:rFonts w:asciiTheme="majorHAnsi" w:eastAsiaTheme="majorEastAsia" w:hAnsiTheme="majorHAnsi" w:cstheme="majorBidi"/>
      <w:b/>
      <w:bCs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3"/>
    <w:rsid w:val="00664C1A"/>
    <w:rPr>
      <w:rFonts w:asciiTheme="majorHAnsi" w:eastAsiaTheme="majorEastAsia" w:hAnsiTheme="majorHAnsi" w:cstheme="majorBidi"/>
      <w:b/>
      <w:bCs/>
      <w:iCs/>
      <w:sz w:val="22"/>
    </w:rPr>
  </w:style>
  <w:style w:type="character" w:customStyle="1" w:styleId="Heading5Char">
    <w:name w:val="Heading 5 Char"/>
    <w:basedOn w:val="DefaultParagraphFont"/>
    <w:link w:val="Heading5"/>
    <w:uiPriority w:val="3"/>
    <w:rsid w:val="00664C1A"/>
    <w:rPr>
      <w:rFonts w:asciiTheme="majorHAnsi" w:eastAsiaTheme="majorEastAsia" w:hAnsiTheme="majorHAnsi" w:cstheme="majorBidi"/>
      <w:b/>
      <w:i/>
      <w:iCs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rsid w:val="000D4642"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664C1A"/>
    <w:pPr>
      <w:ind w:left="720" w:firstLine="0"/>
    </w:pPr>
    <w:rPr>
      <w:iCs/>
      <w:color w:val="auto"/>
    </w:rPr>
  </w:style>
  <w:style w:type="character" w:customStyle="1" w:styleId="QuoteChar">
    <w:name w:val="Quote Char"/>
    <w:basedOn w:val="DefaultParagraphFont"/>
    <w:link w:val="Quote"/>
    <w:uiPriority w:val="29"/>
    <w:rsid w:val="00664C1A"/>
    <w:rPr>
      <w:iCs/>
      <w:color w:val="auto"/>
      <w:sz w:val="22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86440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5F5F5F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8"/>
    <w:qFormat/>
    <w:rsid w:val="00B863FB"/>
    <w:pPr>
      <w:ind w:firstLine="0"/>
      <w:jc w:val="center"/>
    </w:pPr>
    <w:rPr>
      <w:rFonts w:eastAsia="Calibri" w:cs="Calibri"/>
      <w:szCs w:val="22"/>
    </w:rPr>
  </w:style>
  <w:style w:type="character" w:customStyle="1" w:styleId="SubtitleChar">
    <w:name w:val="Subtitle Char"/>
    <w:basedOn w:val="DefaultParagraphFont"/>
    <w:link w:val="Subtitle"/>
    <w:uiPriority w:val="18"/>
    <w:rsid w:val="00B863FB"/>
    <w:rPr>
      <w:rFonts w:eastAsia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A0F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1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96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90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0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4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6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8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6985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991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6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1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4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33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66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65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doi.org/10.1145/3191754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i.org/10.1007/s11097-014-9355-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doi.org/10.1038/nrn.2016.113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doi.org/10.33735/phimisci.2022.919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doi.org/10.3389/fnins.2014.00433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nja\AppData\Roaming\Microsoft\Templates\Student%20APA%20Style%20paper%207th%20edition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6608B1-A148-495A-80CE-F0BD5CC963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DCF06E-81A5-4D29-A946-976E3F20FF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EC758F74-CB61-4D5F-B003-A3FA896AF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Student APA Style paper 7th edition</Template>
  <TotalTime>5729</TotalTime>
  <Pages>3</Pages>
  <Words>587</Words>
  <Characters>3348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Essay Proposal</vt:lpstr>
      <vt:lpstr/>
    </vt:vector>
  </TitlesOfParts>
  <Company/>
  <LinksUpToDate>false</LinksUpToDate>
  <CharactersWithSpaces>3928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 101</dc:creator>
  <cp:keywords/>
  <dc:description/>
  <cp:lastModifiedBy>Sike 101</cp:lastModifiedBy>
  <cp:revision>2</cp:revision>
  <cp:lastPrinted>2025-02-22T05:12:00Z</cp:lastPrinted>
  <dcterms:created xsi:type="dcterms:W3CDTF">2025-02-19T17:34:00Z</dcterms:created>
  <dcterms:modified xsi:type="dcterms:W3CDTF">2025-02-23T18:42:00Z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